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1C130" w14:textId="77777777" w:rsidR="00E71400" w:rsidRPr="00DB4E7F" w:rsidRDefault="00E71400" w:rsidP="00E71400">
      <w:pPr>
        <w:jc w:val="right"/>
        <w:rPr>
          <w:rFonts w:ascii="Aptos" w:hAnsi="Aptos"/>
          <w:b/>
          <w:sz w:val="28"/>
        </w:rPr>
      </w:pPr>
    </w:p>
    <w:p w14:paraId="7A7DC937" w14:textId="469D2EBA" w:rsidR="00091C9F" w:rsidRDefault="00091C9F" w:rsidP="009D64BD">
      <w:pPr>
        <w:pBdr>
          <w:bottom w:val="single" w:sz="12" w:space="1" w:color="auto"/>
        </w:pBdr>
        <w:rPr>
          <w:rFonts w:ascii="Aptos" w:eastAsiaTheme="majorEastAsia" w:hAnsi="Aptos" w:cstheme="majorBidi"/>
          <w:color w:val="2E74B5" w:themeColor="accent1" w:themeShade="BF"/>
          <w:sz w:val="32"/>
          <w:szCs w:val="32"/>
        </w:rPr>
      </w:pPr>
      <w:r w:rsidRPr="00091C9F">
        <w:rPr>
          <w:rFonts w:ascii="Aptos" w:eastAsiaTheme="majorEastAsia" w:hAnsi="Aptos" w:cstheme="majorBidi"/>
          <w:color w:val="2E74B5" w:themeColor="accent1" w:themeShade="BF"/>
          <w:sz w:val="32"/>
          <w:szCs w:val="32"/>
        </w:rPr>
        <w:t>Análisis del Estudio de Costos del Acueducto Metropolitano de Bucaramanga S.A. E.S.P. (AMB) – Resolución CRA 1032 de 2026</w:t>
      </w:r>
    </w:p>
    <w:p w14:paraId="3665504A" w14:textId="261E7BBD" w:rsidR="00E71400" w:rsidRPr="00DB4E7F" w:rsidRDefault="00E71400" w:rsidP="009D64BD">
      <w:pPr>
        <w:pBdr>
          <w:bottom w:val="single" w:sz="12" w:space="1" w:color="auto"/>
        </w:pBdr>
        <w:rPr>
          <w:rFonts w:ascii="Aptos" w:hAnsi="Aptos"/>
          <w:bCs/>
          <w:sz w:val="28"/>
        </w:rPr>
      </w:pPr>
      <w:r w:rsidRPr="00DB4E7F">
        <w:rPr>
          <w:rFonts w:ascii="Aptos" w:hAnsi="Aptos"/>
          <w:bCs/>
          <w:sz w:val="28"/>
        </w:rPr>
        <w:t>28 de julio de 2026</w:t>
      </w:r>
    </w:p>
    <w:p w14:paraId="33445D4D" w14:textId="77777777" w:rsidR="002D20BC" w:rsidRPr="00DB4E7F" w:rsidRDefault="00DA5E25" w:rsidP="009D64BD">
      <w:pPr>
        <w:pStyle w:val="Ttulo1"/>
        <w:numPr>
          <w:ilvl w:val="0"/>
          <w:numId w:val="3"/>
        </w:numPr>
        <w:rPr>
          <w:rFonts w:ascii="Aptos" w:hAnsi="Aptos"/>
          <w:sz w:val="24"/>
          <w:szCs w:val="24"/>
        </w:rPr>
      </w:pPr>
      <w:r w:rsidRPr="00DB4E7F">
        <w:rPr>
          <w:rFonts w:ascii="Aptos" w:hAnsi="Aptos"/>
          <w:sz w:val="24"/>
          <w:szCs w:val="24"/>
        </w:rPr>
        <w:t>PRINCIPALES CONCLUSIONES DEL ANÁLISIS</w:t>
      </w:r>
    </w:p>
    <w:p w14:paraId="205CF609" w14:textId="77777777" w:rsidR="00B35069" w:rsidRDefault="00B35069" w:rsidP="005A308C">
      <w:pPr>
        <w:pStyle w:val="Ttulo2"/>
        <w:rPr>
          <w:rFonts w:ascii="Aptos" w:hAnsi="Aptos"/>
          <w:sz w:val="22"/>
          <w:szCs w:val="22"/>
          <w:u w:val="single"/>
        </w:rPr>
      </w:pPr>
    </w:p>
    <w:p w14:paraId="45787249" w14:textId="055B7325" w:rsidR="00C63EAF" w:rsidRPr="00B35069" w:rsidRDefault="00C63EAF" w:rsidP="005A308C">
      <w:pPr>
        <w:pStyle w:val="Ttulo2"/>
        <w:rPr>
          <w:rFonts w:ascii="Aptos" w:hAnsi="Aptos"/>
          <w:sz w:val="22"/>
          <w:szCs w:val="22"/>
          <w:u w:val="single"/>
        </w:rPr>
      </w:pPr>
      <w:r w:rsidRPr="00B35069">
        <w:rPr>
          <w:rFonts w:ascii="Aptos" w:hAnsi="Aptos"/>
          <w:sz w:val="22"/>
          <w:szCs w:val="22"/>
          <w:u w:val="single"/>
        </w:rPr>
        <w:t>Generalidades</w:t>
      </w:r>
    </w:p>
    <w:p w14:paraId="128A31A8" w14:textId="7E08B5AA" w:rsidR="00D923DE" w:rsidRPr="00B35069" w:rsidRDefault="00D923DE" w:rsidP="00E71400">
      <w:pPr>
        <w:pStyle w:val="Prrafodelista"/>
        <w:numPr>
          <w:ilvl w:val="0"/>
          <w:numId w:val="2"/>
        </w:numPr>
        <w:jc w:val="both"/>
        <w:rPr>
          <w:rFonts w:ascii="Aptos" w:hAnsi="Aptos"/>
        </w:rPr>
      </w:pPr>
      <w:r w:rsidRPr="00B35069">
        <w:rPr>
          <w:rFonts w:ascii="Aptos" w:hAnsi="Aptos"/>
        </w:rPr>
        <w:t xml:space="preserve">Falta de información. </w:t>
      </w:r>
      <w:r w:rsidRPr="00B35069">
        <w:rPr>
          <w:rFonts w:ascii="Aptos" w:hAnsi="Aptos"/>
        </w:rPr>
        <w:t>No se cuenta con la información suficiente para realizar un análisis a profundidad respecto al estudio de costos</w:t>
      </w:r>
      <w:r w:rsidRPr="00B35069">
        <w:rPr>
          <w:rFonts w:ascii="Aptos" w:hAnsi="Aptos"/>
        </w:rPr>
        <w:t xml:space="preserve"> </w:t>
      </w:r>
    </w:p>
    <w:p w14:paraId="2C63AC81" w14:textId="3B38F134" w:rsidR="00DA5E25" w:rsidRPr="00B35069" w:rsidRDefault="00DA5E25" w:rsidP="00E71400">
      <w:pPr>
        <w:pStyle w:val="Prrafodelista"/>
        <w:numPr>
          <w:ilvl w:val="0"/>
          <w:numId w:val="2"/>
        </w:numPr>
        <w:jc w:val="both"/>
        <w:rPr>
          <w:rFonts w:ascii="Aptos" w:hAnsi="Aptos"/>
        </w:rPr>
      </w:pPr>
      <w:r w:rsidRPr="00B35069">
        <w:rPr>
          <w:rFonts w:ascii="Aptos" w:hAnsi="Aptos"/>
        </w:rPr>
        <w:t xml:space="preserve">AMB corresponde al </w:t>
      </w:r>
      <w:r w:rsidRPr="00B35069">
        <w:rPr>
          <w:rFonts w:ascii="Aptos" w:hAnsi="Aptos"/>
          <w:b/>
          <w:bCs/>
        </w:rPr>
        <w:t>primer segmento</w:t>
      </w:r>
      <w:r w:rsidRPr="00B35069">
        <w:rPr>
          <w:rFonts w:ascii="Aptos" w:hAnsi="Aptos"/>
        </w:rPr>
        <w:t xml:space="preserve"> definido en el marco tarifario.</w:t>
      </w:r>
    </w:p>
    <w:p w14:paraId="2F7130C4" w14:textId="77777777" w:rsidR="00C63EAF" w:rsidRPr="00B35069" w:rsidRDefault="00C63EAF" w:rsidP="00C63EA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B35069">
        <w:rPr>
          <w:rFonts w:ascii="Aptos" w:eastAsia="Times New Roman" w:hAnsi="Aptos" w:cs="Segoe UI"/>
          <w:lang w:eastAsia="es-CO"/>
        </w:rPr>
        <w:t xml:space="preserve">Ante un cambio de marco, donde </w:t>
      </w:r>
      <w:r w:rsidRPr="00B35069">
        <w:rPr>
          <w:rFonts w:ascii="Aptos" w:eastAsia="Times New Roman" w:hAnsi="Aptos" w:cs="Segoe UI"/>
          <w:u w:val="single"/>
          <w:lang w:eastAsia="es-CO"/>
        </w:rPr>
        <w:t>cambia el año base</w:t>
      </w:r>
      <w:r w:rsidRPr="00B35069">
        <w:rPr>
          <w:rFonts w:ascii="Aptos" w:eastAsia="Times New Roman" w:hAnsi="Aptos" w:cs="Segoe UI"/>
          <w:lang w:eastAsia="es-CO"/>
        </w:rPr>
        <w:t xml:space="preserve"> de información con la cual se estiman los costos, lo más natural es que haya incremento</w:t>
      </w:r>
    </w:p>
    <w:p w14:paraId="38C330B0" w14:textId="0769B749" w:rsidR="00C63EAF" w:rsidRPr="00B35069" w:rsidRDefault="00C63EAF" w:rsidP="00C63EAF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B35069">
        <w:rPr>
          <w:rFonts w:ascii="Aptos" w:eastAsia="Times New Roman" w:hAnsi="Aptos" w:cs="Segoe UI"/>
          <w:lang w:eastAsia="es-CO"/>
        </w:rPr>
        <w:t>La SSPD requirió la totalidad de la información para hacer el respectivo análisis. Estamos pendientes de la atención a dichos requerimientos (de la CRA salió el 8 de julio y de la SSPD salió el 16) para seguir el respectivo proceso de análisis de los estudios de costos.</w:t>
      </w:r>
    </w:p>
    <w:p w14:paraId="247DC16B" w14:textId="321AE854" w:rsidR="00B35069" w:rsidRPr="00B35069" w:rsidRDefault="00B35069" w:rsidP="00523882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B35069">
        <w:rPr>
          <w:rFonts w:ascii="Aptos" w:eastAsia="Times New Roman" w:hAnsi="Aptos" w:cs="Segoe UI"/>
          <w:lang w:eastAsia="es-CO"/>
        </w:rPr>
        <w:t>Cada prestador estima sus costos de acuerdo con sus particularidades de prestación</w:t>
      </w:r>
    </w:p>
    <w:p w14:paraId="2A86CBC5" w14:textId="6818F2A0" w:rsidR="00C63EAF" w:rsidRPr="00B35069" w:rsidRDefault="00C63EAF" w:rsidP="005A308C">
      <w:pPr>
        <w:pStyle w:val="Ttulo2"/>
        <w:rPr>
          <w:rFonts w:ascii="Aptos" w:hAnsi="Aptos"/>
          <w:sz w:val="22"/>
          <w:szCs w:val="22"/>
          <w:u w:val="single"/>
        </w:rPr>
      </w:pPr>
      <w:r w:rsidRPr="00B35069">
        <w:rPr>
          <w:rFonts w:ascii="Aptos" w:hAnsi="Aptos"/>
          <w:sz w:val="22"/>
          <w:szCs w:val="22"/>
          <w:u w:val="single"/>
        </w:rPr>
        <w:t>Costos de referencia</w:t>
      </w:r>
    </w:p>
    <w:p w14:paraId="00E1ED74" w14:textId="17BD0845" w:rsidR="00DA5E25" w:rsidRPr="00B35069" w:rsidRDefault="00C63EAF" w:rsidP="00E71400">
      <w:pPr>
        <w:pStyle w:val="Prrafodelista"/>
        <w:numPr>
          <w:ilvl w:val="0"/>
          <w:numId w:val="2"/>
        </w:numPr>
        <w:jc w:val="both"/>
        <w:rPr>
          <w:rFonts w:ascii="Aptos" w:hAnsi="Aptos"/>
        </w:rPr>
      </w:pPr>
      <w:r w:rsidRPr="00B35069">
        <w:rPr>
          <w:rFonts w:ascii="Aptos" w:hAnsi="Aptos"/>
          <w:b/>
          <w:bCs/>
        </w:rPr>
        <w:t xml:space="preserve">CMA y CMO: </w:t>
      </w:r>
      <w:r w:rsidR="00E94631" w:rsidRPr="00B35069">
        <w:rPr>
          <w:rFonts w:ascii="Aptos" w:hAnsi="Aptos"/>
          <w:b/>
          <w:bCs/>
        </w:rPr>
        <w:t xml:space="preserve">Variación SMLV 2026 - </w:t>
      </w:r>
      <w:r w:rsidR="00DA5E25" w:rsidRPr="00B35069">
        <w:rPr>
          <w:rFonts w:ascii="Aptos" w:hAnsi="Aptos"/>
        </w:rPr>
        <w:t xml:space="preserve">Se evidencia que se incluyó dentro de los costos </w:t>
      </w:r>
      <w:r w:rsidR="009D64BD" w:rsidRPr="00B35069">
        <w:rPr>
          <w:rFonts w:ascii="Aptos" w:hAnsi="Aptos"/>
        </w:rPr>
        <w:t xml:space="preserve">administrativos y operativos generales la variación </w:t>
      </w:r>
      <w:r w:rsidR="00DA5E25" w:rsidRPr="00B35069">
        <w:rPr>
          <w:rFonts w:ascii="Aptos" w:hAnsi="Aptos"/>
        </w:rPr>
        <w:t xml:space="preserve">del </w:t>
      </w:r>
      <w:r w:rsidR="00DA5E25" w:rsidRPr="00B35069">
        <w:rPr>
          <w:rFonts w:ascii="Aptos" w:hAnsi="Aptos"/>
          <w:b/>
          <w:bCs/>
        </w:rPr>
        <w:t>Salario mínimo</w:t>
      </w:r>
      <w:r w:rsidR="009D64BD" w:rsidRPr="00B35069">
        <w:rPr>
          <w:rFonts w:ascii="Aptos" w:hAnsi="Aptos"/>
          <w:b/>
          <w:bCs/>
        </w:rPr>
        <w:t xml:space="preserve"> legal de la vigencia 2026</w:t>
      </w:r>
      <w:r w:rsidR="00DA5E25" w:rsidRPr="00B35069">
        <w:rPr>
          <w:rFonts w:ascii="Aptos" w:hAnsi="Aptos"/>
        </w:rPr>
        <w:t>, lo que implica un impacto</w:t>
      </w:r>
      <w:r w:rsidR="009D64BD" w:rsidRPr="00B35069">
        <w:rPr>
          <w:rFonts w:ascii="Aptos" w:hAnsi="Aptos"/>
        </w:rPr>
        <w:t xml:space="preserve"> al alza.</w:t>
      </w:r>
    </w:p>
    <w:p w14:paraId="337EC9AC" w14:textId="6EB01917" w:rsidR="00C63EAF" w:rsidRPr="00B35069" w:rsidRDefault="00C63EAF" w:rsidP="00C63EAF">
      <w:pPr>
        <w:pStyle w:val="Prrafodelista"/>
        <w:numPr>
          <w:ilvl w:val="0"/>
          <w:numId w:val="2"/>
        </w:numPr>
        <w:jc w:val="both"/>
        <w:rPr>
          <w:rFonts w:ascii="Aptos" w:hAnsi="Aptos"/>
        </w:rPr>
      </w:pPr>
      <w:r w:rsidRPr="00B35069">
        <w:rPr>
          <w:rFonts w:ascii="Aptos" w:hAnsi="Aptos"/>
          <w:b/>
          <w:bCs/>
        </w:rPr>
        <w:t>CCP</w:t>
      </w:r>
      <w:r w:rsidRPr="00B35069">
        <w:rPr>
          <w:rFonts w:ascii="Aptos" w:hAnsi="Aptos"/>
        </w:rPr>
        <w:t xml:space="preserve">:  </w:t>
      </w:r>
      <w:r w:rsidRPr="00B35069">
        <w:rPr>
          <w:rFonts w:ascii="Aptos" w:hAnsi="Aptos"/>
        </w:rPr>
        <w:t xml:space="preserve">La estimación de los costos de referencia que venía aplicando el prestador (Res CRA 688 de 2014) contaban con un valor estimado de </w:t>
      </w:r>
      <w:r w:rsidRPr="00B35069">
        <w:rPr>
          <w:rFonts w:ascii="Aptos" w:hAnsi="Aptos"/>
          <w:b/>
          <w:bCs/>
        </w:rPr>
        <w:t>Consumo Corregido por Pérdidas</w:t>
      </w:r>
      <w:r w:rsidRPr="00B35069">
        <w:rPr>
          <w:rFonts w:ascii="Aptos" w:hAnsi="Aptos"/>
        </w:rPr>
        <w:t xml:space="preserve"> - </w:t>
      </w:r>
      <w:r w:rsidRPr="00B35069">
        <w:rPr>
          <w:rFonts w:ascii="Aptos" w:hAnsi="Aptos"/>
          <w:b/>
          <w:bCs/>
        </w:rPr>
        <w:t xml:space="preserve">CCP </w:t>
      </w:r>
      <w:r w:rsidRPr="00B35069">
        <w:rPr>
          <w:rFonts w:ascii="Aptos" w:hAnsi="Aptos"/>
          <w:u w:val="single"/>
        </w:rPr>
        <w:t>aproximado de 73 millones m3/año</w:t>
      </w:r>
      <w:r w:rsidRPr="00B35069">
        <w:rPr>
          <w:rFonts w:ascii="Aptos" w:hAnsi="Aptos"/>
        </w:rPr>
        <w:t xml:space="preserve">. El cálculo real aplicado por la metodología tarifaria (Res Cra 1032 de 2026) es de </w:t>
      </w:r>
      <w:r w:rsidRPr="00B35069">
        <w:rPr>
          <w:rFonts w:ascii="Aptos" w:hAnsi="Aptos"/>
          <w:u w:val="single"/>
        </w:rPr>
        <w:t>51 millones de m3/año</w:t>
      </w:r>
      <w:r w:rsidRPr="00B35069">
        <w:rPr>
          <w:rFonts w:ascii="Aptos" w:hAnsi="Aptos"/>
        </w:rPr>
        <w:t xml:space="preserve">. </w:t>
      </w:r>
      <w:r w:rsidRPr="00B35069">
        <w:rPr>
          <w:rFonts w:ascii="Aptos" w:hAnsi="Aptos"/>
          <w:b/>
          <w:bCs/>
        </w:rPr>
        <w:t xml:space="preserve">EFECTO: </w:t>
      </w:r>
      <w:r w:rsidRPr="00B35069">
        <w:rPr>
          <w:rFonts w:ascii="Aptos" w:hAnsi="Aptos"/>
        </w:rPr>
        <w:t>Al disminuir el CCP, el valor de los costos medios aumenta, al ser inversamente proporcional al afectar el denominador de las fórmulas tarifarias. Impacto aproximado del 30%</w:t>
      </w:r>
    </w:p>
    <w:p w14:paraId="765F3A87" w14:textId="5412F862" w:rsidR="00C37887" w:rsidRPr="00B35069" w:rsidRDefault="00C63EAF" w:rsidP="00E71400">
      <w:pPr>
        <w:pStyle w:val="Prrafodelista"/>
        <w:numPr>
          <w:ilvl w:val="0"/>
          <w:numId w:val="2"/>
        </w:numPr>
        <w:jc w:val="both"/>
        <w:rPr>
          <w:rFonts w:ascii="Aptos" w:hAnsi="Aptos"/>
        </w:rPr>
      </w:pPr>
      <w:r w:rsidRPr="00B35069">
        <w:rPr>
          <w:rFonts w:ascii="Aptos" w:hAnsi="Aptos"/>
          <w:b/>
          <w:bCs/>
        </w:rPr>
        <w:t>CMI</w:t>
      </w:r>
      <w:r w:rsidR="00B35069" w:rsidRPr="00B35069">
        <w:rPr>
          <w:rFonts w:ascii="Aptos" w:hAnsi="Aptos"/>
          <w:b/>
          <w:bCs/>
        </w:rPr>
        <w:t>-</w:t>
      </w:r>
      <w:r w:rsidR="00E94631" w:rsidRPr="00B35069">
        <w:rPr>
          <w:rFonts w:ascii="Aptos" w:hAnsi="Aptos"/>
          <w:b/>
          <w:bCs/>
        </w:rPr>
        <w:t xml:space="preserve">Valor de los activos: </w:t>
      </w:r>
      <w:r w:rsidR="00DA5E25" w:rsidRPr="00B35069">
        <w:rPr>
          <w:rFonts w:ascii="Aptos" w:hAnsi="Aptos"/>
        </w:rPr>
        <w:t xml:space="preserve">Se evidencia una </w:t>
      </w:r>
      <w:r w:rsidR="00DA5E25" w:rsidRPr="00B35069">
        <w:rPr>
          <w:rFonts w:ascii="Aptos" w:hAnsi="Aptos"/>
          <w:b/>
          <w:bCs/>
        </w:rPr>
        <w:t xml:space="preserve">diferencia entre el valor de los activos que se encuentran reportados en SURICATA </w:t>
      </w:r>
      <w:r w:rsidR="00DA5E25" w:rsidRPr="00B35069">
        <w:rPr>
          <w:rFonts w:ascii="Aptos" w:hAnsi="Aptos"/>
        </w:rPr>
        <w:t>(consultado hoy 28 de julio</w:t>
      </w:r>
      <w:r w:rsidR="009D64BD" w:rsidRPr="00B35069">
        <w:rPr>
          <w:rFonts w:ascii="Aptos" w:hAnsi="Aptos"/>
        </w:rPr>
        <w:t xml:space="preserve"> de 2026</w:t>
      </w:r>
      <w:r w:rsidR="00DA5E25" w:rsidRPr="00B35069">
        <w:rPr>
          <w:rFonts w:ascii="Aptos" w:hAnsi="Aptos"/>
        </w:rPr>
        <w:t>)</w:t>
      </w:r>
      <w:r w:rsidR="009D64BD" w:rsidRPr="00B35069">
        <w:rPr>
          <w:rFonts w:ascii="Aptos" w:hAnsi="Aptos"/>
        </w:rPr>
        <w:t>:</w:t>
      </w:r>
      <w:r w:rsidR="00DA5E25" w:rsidRPr="00B35069">
        <w:rPr>
          <w:rFonts w:ascii="Aptos" w:hAnsi="Aptos"/>
        </w:rPr>
        <w:t xml:space="preserve"> </w:t>
      </w:r>
      <w:r w:rsidR="00DA5E25" w:rsidRPr="00B35069">
        <w:rPr>
          <w:rFonts w:ascii="Aptos" w:hAnsi="Aptos"/>
          <w:u w:val="single"/>
        </w:rPr>
        <w:t>482 mil millones</w:t>
      </w:r>
      <w:r w:rsidR="009D64BD" w:rsidRPr="00B35069">
        <w:rPr>
          <w:rFonts w:ascii="Aptos" w:hAnsi="Aptos"/>
          <w:u w:val="single"/>
        </w:rPr>
        <w:t xml:space="preserve"> de pesos</w:t>
      </w:r>
      <w:r w:rsidR="00DA5E25" w:rsidRPr="00B35069">
        <w:rPr>
          <w:rFonts w:ascii="Aptos" w:hAnsi="Aptos"/>
        </w:rPr>
        <w:t xml:space="preserve"> respecto a lo relacionado en el estudio de costos que asciende a </w:t>
      </w:r>
      <w:r w:rsidR="00DA5E25" w:rsidRPr="00B35069">
        <w:rPr>
          <w:rFonts w:ascii="Aptos" w:hAnsi="Aptos"/>
          <w:u w:val="single"/>
        </w:rPr>
        <w:t>645 mil millones</w:t>
      </w:r>
      <w:r w:rsidR="009D64BD" w:rsidRPr="00B35069">
        <w:rPr>
          <w:rFonts w:ascii="Aptos" w:hAnsi="Aptos"/>
          <w:u w:val="single"/>
        </w:rPr>
        <w:t xml:space="preserve"> de pesos</w:t>
      </w:r>
      <w:r w:rsidR="00DA5E25" w:rsidRPr="00B35069">
        <w:rPr>
          <w:rFonts w:ascii="Aptos" w:hAnsi="Aptos"/>
          <w:u w:val="single"/>
        </w:rPr>
        <w:t>.</w:t>
      </w:r>
      <w:r w:rsidR="00DA5E25" w:rsidRPr="00B35069">
        <w:rPr>
          <w:rFonts w:ascii="Aptos" w:hAnsi="Aptos"/>
        </w:rPr>
        <w:t xml:space="preserve"> </w:t>
      </w:r>
      <w:r w:rsidR="00D923DE" w:rsidRPr="00B35069">
        <w:rPr>
          <w:rFonts w:ascii="Aptos" w:hAnsi="Aptos"/>
          <w:b/>
          <w:bCs/>
        </w:rPr>
        <w:t xml:space="preserve">EFECTO. </w:t>
      </w:r>
      <w:r w:rsidR="00DA5E25" w:rsidRPr="00B35069">
        <w:rPr>
          <w:rFonts w:ascii="Aptos" w:hAnsi="Aptos"/>
        </w:rPr>
        <w:t>Esto genera un imp</w:t>
      </w:r>
      <w:r w:rsidR="00D923DE" w:rsidRPr="00B35069">
        <w:rPr>
          <w:rFonts w:ascii="Aptos" w:hAnsi="Aptos"/>
        </w:rPr>
        <w:t xml:space="preserve">acto positivo </w:t>
      </w:r>
      <w:r w:rsidR="00DA5E25" w:rsidRPr="00B35069">
        <w:rPr>
          <w:rFonts w:ascii="Aptos" w:hAnsi="Aptos"/>
        </w:rPr>
        <w:t>en el CMI.</w:t>
      </w:r>
    </w:p>
    <w:p w14:paraId="1DD242D5" w14:textId="77777777" w:rsidR="00E71400" w:rsidRPr="00B35069" w:rsidRDefault="00C37887" w:rsidP="00E7140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B35069">
        <w:rPr>
          <w:rFonts w:ascii="Aptos" w:eastAsia="Times New Roman" w:hAnsi="Aptos" w:cs="Segoe UI"/>
          <w:lang w:eastAsia="es-CO"/>
        </w:rPr>
        <w:t xml:space="preserve">Para el caso de </w:t>
      </w:r>
      <w:r w:rsidRPr="00B35069">
        <w:rPr>
          <w:rFonts w:ascii="Aptos" w:eastAsia="Times New Roman" w:hAnsi="Aptos" w:cs="Segoe UI"/>
          <w:b/>
          <w:bCs/>
          <w:lang w:eastAsia="es-CO"/>
        </w:rPr>
        <w:t>alcantarillado</w:t>
      </w:r>
      <w:r w:rsidRPr="00B35069">
        <w:rPr>
          <w:rFonts w:ascii="Aptos" w:eastAsia="Times New Roman" w:hAnsi="Aptos" w:cs="Segoe UI"/>
          <w:lang w:eastAsia="es-CO"/>
        </w:rPr>
        <w:t xml:space="preserve">, la cantidad de suscriptores es muy baja, solo tienen </w:t>
      </w:r>
      <w:r w:rsidR="00E71400" w:rsidRPr="00B35069">
        <w:rPr>
          <w:rFonts w:ascii="Aptos" w:eastAsia="Times New Roman" w:hAnsi="Aptos" w:cs="Segoe UI"/>
          <w:lang w:eastAsia="es-CO"/>
        </w:rPr>
        <w:t xml:space="preserve">362 a diciembre de 2024, y al ser la metodología </w:t>
      </w:r>
      <w:r w:rsidRPr="00B35069">
        <w:rPr>
          <w:rFonts w:ascii="Aptos" w:eastAsia="Times New Roman" w:hAnsi="Aptos" w:cs="Segoe UI"/>
          <w:lang w:eastAsia="es-CO"/>
        </w:rPr>
        <w:t>de costo</w:t>
      </w:r>
      <w:r w:rsidR="00E71400" w:rsidRPr="00B35069">
        <w:rPr>
          <w:rFonts w:ascii="Aptos" w:eastAsia="Times New Roman" w:hAnsi="Aptos" w:cs="Segoe UI"/>
          <w:lang w:eastAsia="es-CO"/>
        </w:rPr>
        <w:t xml:space="preserve"> medio,</w:t>
      </w:r>
      <w:r w:rsidRPr="00B35069">
        <w:rPr>
          <w:rFonts w:ascii="Aptos" w:eastAsia="Times New Roman" w:hAnsi="Aptos" w:cs="Segoe UI"/>
          <w:lang w:eastAsia="es-CO"/>
        </w:rPr>
        <w:t xml:space="preserve"> </w:t>
      </w:r>
      <w:r w:rsidR="00E71400" w:rsidRPr="00B35069">
        <w:rPr>
          <w:rFonts w:ascii="Aptos" w:eastAsia="Times New Roman" w:hAnsi="Aptos" w:cs="Segoe UI"/>
          <w:lang w:eastAsia="es-CO"/>
        </w:rPr>
        <w:t>se genera un impacto en la tarifa.</w:t>
      </w:r>
    </w:p>
    <w:p w14:paraId="265AB46E" w14:textId="66AEF930" w:rsidR="00C37887" w:rsidRDefault="00C37887" w:rsidP="00E71400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B35069">
        <w:rPr>
          <w:rFonts w:ascii="Aptos" w:eastAsia="Times New Roman" w:hAnsi="Aptos" w:cs="Segoe UI"/>
          <w:lang w:eastAsia="es-CO"/>
        </w:rPr>
        <w:t xml:space="preserve">AMB tiene un contrato con EMPAS para el tratamiento y disposición final de las aguas residuales, </w:t>
      </w:r>
      <w:r w:rsidR="00E71400" w:rsidRPr="00B35069">
        <w:rPr>
          <w:rFonts w:ascii="Aptos" w:eastAsia="Times New Roman" w:hAnsi="Aptos" w:cs="Segoe UI"/>
          <w:lang w:eastAsia="es-CO"/>
        </w:rPr>
        <w:t xml:space="preserve">el cual se traslada al usuario y </w:t>
      </w:r>
      <w:r w:rsidR="00AF4713" w:rsidRPr="00B35069">
        <w:rPr>
          <w:rFonts w:ascii="Aptos" w:eastAsia="Times New Roman" w:hAnsi="Aptos" w:cs="Segoe UI"/>
          <w:lang w:eastAsia="es-CO"/>
        </w:rPr>
        <w:t>los precios</w:t>
      </w:r>
      <w:r w:rsidR="00E71400" w:rsidRPr="00B35069">
        <w:rPr>
          <w:rFonts w:ascii="Aptos" w:eastAsia="Times New Roman" w:hAnsi="Aptos" w:cs="Segoe UI"/>
          <w:lang w:eastAsia="es-CO"/>
        </w:rPr>
        <w:t xml:space="preserve"> pactad</w:t>
      </w:r>
      <w:r w:rsidR="00AF4713" w:rsidRPr="00B35069">
        <w:rPr>
          <w:rFonts w:ascii="Aptos" w:eastAsia="Times New Roman" w:hAnsi="Aptos" w:cs="Segoe UI"/>
          <w:lang w:eastAsia="es-CO"/>
        </w:rPr>
        <w:t>o</w:t>
      </w:r>
      <w:r w:rsidR="00E71400" w:rsidRPr="00B35069">
        <w:rPr>
          <w:rFonts w:ascii="Aptos" w:eastAsia="Times New Roman" w:hAnsi="Aptos" w:cs="Segoe UI"/>
          <w:lang w:eastAsia="es-CO"/>
        </w:rPr>
        <w:t>s de a partir de derecho privado</w:t>
      </w:r>
    </w:p>
    <w:p w14:paraId="4B058C58" w14:textId="3E2D0728" w:rsidR="00AA42BB" w:rsidRPr="00AA42BB" w:rsidRDefault="00AA42BB" w:rsidP="00AA42BB">
      <w:pPr>
        <w:pStyle w:val="Ttulo1"/>
        <w:numPr>
          <w:ilvl w:val="0"/>
          <w:numId w:val="3"/>
        </w:numPr>
        <w:rPr>
          <w:rFonts w:ascii="Aptos" w:hAnsi="Aptos"/>
          <w:sz w:val="24"/>
          <w:szCs w:val="24"/>
        </w:rPr>
      </w:pPr>
      <w:bookmarkStart w:id="0" w:name="evaluación-regulatoria"/>
      <w:r w:rsidRPr="00AA42BB">
        <w:rPr>
          <w:rFonts w:ascii="Aptos" w:hAnsi="Aptos"/>
          <w:sz w:val="24"/>
          <w:szCs w:val="24"/>
        </w:rPr>
        <w:t>EVALUACIÓN REGULATORIA</w:t>
      </w:r>
    </w:p>
    <w:bookmarkEnd w:id="0"/>
    <w:p w14:paraId="54047B93" w14:textId="77777777" w:rsidR="00AA42BB" w:rsidRDefault="00AA42BB" w:rsidP="00AA42BB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</w:p>
    <w:p w14:paraId="2EF5BDAA" w14:textId="2FCC7E23" w:rsidR="00FB1283" w:rsidRDefault="00FB1283" w:rsidP="00FB1283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lastRenderedPageBreak/>
        <w:t>Costo Medio de Administración</w:t>
      </w:r>
      <w:r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 xml:space="preserve"> (CMA)</w:t>
      </w: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>.</w:t>
      </w:r>
      <w:r w:rsidRPr="00FB1283">
        <w:rPr>
          <w:rFonts w:ascii="Aptos" w:eastAsia="Times New Roman" w:hAnsi="Aptos" w:cs="Segoe UI"/>
          <w:i/>
          <w:iCs/>
          <w:color w:val="5B9BD5" w:themeColor="accent1"/>
          <w:lang w:eastAsia="es-CO"/>
        </w:rPr>
        <w:t xml:space="preserve"> </w:t>
      </w:r>
      <w:r>
        <w:rPr>
          <w:rFonts w:ascii="Aptos" w:eastAsia="Times New Roman" w:hAnsi="Aptos" w:cs="Segoe UI"/>
          <w:lang w:eastAsia="es-CO"/>
        </w:rPr>
        <w:t>E</w:t>
      </w:r>
      <w:r w:rsidRPr="00FB1283">
        <w:rPr>
          <w:rFonts w:ascii="Aptos" w:eastAsia="Times New Roman" w:hAnsi="Aptos" w:cs="Segoe UI"/>
          <w:lang w:eastAsia="es-CO"/>
        </w:rPr>
        <w:t>l CMA se determina a partir de los Costos Administrativos Comparables (CAC), ajustados por la tasa de capital de trabajo (</w:t>
      </w:r>
      <w:proofErr w:type="spellStart"/>
      <w:r w:rsidRPr="00FB1283">
        <w:rPr>
          <w:rFonts w:ascii="Aptos" w:eastAsia="Times New Roman" w:hAnsi="Aptos" w:cs="Segoe UI"/>
          <w:lang w:eastAsia="es-CO"/>
        </w:rPr>
        <w:t>kct</w:t>
      </w:r>
      <w:proofErr w:type="spellEnd"/>
      <w:r w:rsidRPr="00FB1283">
        <w:rPr>
          <w:rFonts w:ascii="Aptos" w:eastAsia="Times New Roman" w:hAnsi="Aptos" w:cs="Segoe UI"/>
          <w:lang w:eastAsia="es-CO"/>
        </w:rPr>
        <w:t>) y actualizados mediante el factor de indexación previsto en la regulación. La fórmula aplicada corresponde al artículo 2.1.2.1.3.2.1 de la Resolución CRA 1032 de 2026.</w:t>
      </w:r>
    </w:p>
    <w:p w14:paraId="23F5F021" w14:textId="0640C3EB" w:rsidR="00FB1283" w:rsidRDefault="00FB1283" w:rsidP="00FB1283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lang w:eastAsia="es-CO"/>
        </w:rPr>
        <w:t>la variación del CMA no obedece únicamente al crecimiento de los costos administrativos, sino principalmente a la redefinición de los conceptos reconocibles, la exclusión expresa de determinados gastos administrativos y la aplicación de criterios de eficiencia más estrictos respecto del régimen anterior</w:t>
      </w:r>
    </w:p>
    <w:p w14:paraId="7BA5F58B" w14:textId="77777777" w:rsidR="00091C9F" w:rsidRDefault="00FB1283" w:rsidP="00091C9F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 xml:space="preserve">Costo </w:t>
      </w:r>
      <w:r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>M</w:t>
      </w: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>edio de Operación</w:t>
      </w:r>
      <w:r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 xml:space="preserve"> (CMO). </w:t>
      </w:r>
      <w:r w:rsidRPr="00FB1283">
        <w:rPr>
          <w:rFonts w:ascii="Aptos" w:eastAsia="Times New Roman" w:hAnsi="Aptos" w:cs="Segoe UI"/>
          <w:lang w:eastAsia="es-CO"/>
        </w:rPr>
        <w:t xml:space="preserve">La principal explicación regulatoria de las variaciones del </w:t>
      </w:r>
      <w:r w:rsidRPr="00FB1283">
        <w:rPr>
          <w:rFonts w:ascii="Aptos" w:eastAsia="Times New Roman" w:hAnsi="Aptos" w:cs="Segoe UI"/>
          <w:b/>
          <w:bCs/>
          <w:lang w:eastAsia="es-CO"/>
        </w:rPr>
        <w:t>CMO</w:t>
      </w:r>
      <w:r w:rsidRPr="00FB1283">
        <w:rPr>
          <w:rFonts w:ascii="Aptos" w:eastAsia="Times New Roman" w:hAnsi="Aptos" w:cs="Segoe UI"/>
          <w:lang w:eastAsia="es-CO"/>
        </w:rPr>
        <w:t xml:space="preserve"> radica en:</w:t>
      </w:r>
    </w:p>
    <w:p w14:paraId="48FDDCC0" w14:textId="511DB497" w:rsidR="00FB1283" w:rsidRPr="00091C9F" w:rsidRDefault="00FB1283" w:rsidP="00091C9F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091C9F">
        <w:rPr>
          <w:rFonts w:ascii="Aptos" w:eastAsia="Times New Roman" w:hAnsi="Aptos" w:cs="Segoe UI"/>
          <w:lang w:eastAsia="es-CO"/>
        </w:rPr>
        <w:t>la actualización de los costos operativos comparables;</w:t>
      </w:r>
    </w:p>
    <w:p w14:paraId="4E0A8A17" w14:textId="6ADE248D" w:rsidR="00FB1283" w:rsidRPr="00FB1283" w:rsidRDefault="00FB1283" w:rsidP="00091C9F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lang w:eastAsia="es-CO"/>
        </w:rPr>
        <w:t>el reconocimiento diferenciado de energía e insumos químicos como costos particulares;</w:t>
      </w:r>
    </w:p>
    <w:p w14:paraId="0560741E" w14:textId="672D258A" w:rsidR="00FB1283" w:rsidRPr="00FB1283" w:rsidRDefault="00FB1283" w:rsidP="00091C9F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lang w:eastAsia="es-CO"/>
        </w:rPr>
        <w:t>la incorporación del ajuste por SMMLV 2026 autorizado para el período de inicio; y</w:t>
      </w:r>
    </w:p>
    <w:p w14:paraId="06BCC1AC" w14:textId="77777777" w:rsidR="00FB1283" w:rsidRDefault="00FB1283" w:rsidP="00091C9F">
      <w:pPr>
        <w:pStyle w:val="Prrafodelist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lang w:eastAsia="es-CO"/>
        </w:rPr>
        <w:t>la utilización del Consumo Corregido por Pérdidas (CCP) como denominador regulatorio.</w:t>
      </w:r>
    </w:p>
    <w:p w14:paraId="40C9B3A9" w14:textId="77095F22" w:rsidR="00FB1283" w:rsidRPr="00FB1283" w:rsidRDefault="00FB1283" w:rsidP="00FB1283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>Costo Medio de Impuestos, Contribuciones y Tasas (CMICT)</w:t>
      </w:r>
      <w:r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 xml:space="preserve">. </w:t>
      </w:r>
      <w:r w:rsidRPr="00FB1283">
        <w:rPr>
          <w:rFonts w:ascii="Aptos" w:eastAsia="Times New Roman" w:hAnsi="Aptos" w:cs="Segoe UI"/>
          <w:lang w:eastAsia="es-CO"/>
        </w:rPr>
        <w:t xml:space="preserve">La principal causa </w:t>
      </w:r>
      <w:r w:rsidRPr="00FB1283">
        <w:rPr>
          <w:rFonts w:ascii="Aptos" w:eastAsia="Times New Roman" w:hAnsi="Aptos" w:cs="Segoe UI"/>
          <w:lang w:eastAsia="es-CO"/>
        </w:rPr>
        <w:t xml:space="preserve">de variación positiva del </w:t>
      </w:r>
      <w:r w:rsidRPr="00FB1283">
        <w:rPr>
          <w:rFonts w:ascii="Aptos" w:eastAsia="Times New Roman" w:hAnsi="Aptos" w:cs="Segoe UI"/>
          <w:lang w:eastAsia="es-CO"/>
        </w:rPr>
        <w:t>CMICT</w:t>
      </w:r>
      <w:r w:rsidRPr="00FB1283">
        <w:rPr>
          <w:rFonts w:ascii="Aptos" w:eastAsia="Times New Roman" w:hAnsi="Aptos" w:cs="Segoe UI"/>
          <w:lang w:eastAsia="es-CO"/>
        </w:rPr>
        <w:t xml:space="preserve"> </w:t>
      </w:r>
      <w:r w:rsidRPr="00FB1283">
        <w:rPr>
          <w:rFonts w:ascii="Aptos" w:eastAsia="Times New Roman" w:hAnsi="Aptos" w:cs="Segoe UI"/>
          <w:lang w:eastAsia="es-CO"/>
        </w:rPr>
        <w:t>es la redistribución metodológica de rubros que en la Resolución CRA 688 eran reconocidos dentro de otros componentes tarifarios y que la Resolución CRA 1032 incorpora expresamente al CMICT, entre ellos el Gravamen a los Movimientos Financieros (GMF), las cuotas regulatorias, determinadas contribuciones y algunas tasas ambientales. En consecuencia, una parte importante del incremento observado corresponde a una reclasificación regulatoria de costos y no a un aumento real del costo total del servicio.</w:t>
      </w:r>
    </w:p>
    <w:p w14:paraId="7812542A" w14:textId="4E7541FC" w:rsidR="00AA42BB" w:rsidRPr="00253604" w:rsidRDefault="00FB1283" w:rsidP="00FB1283">
      <w:pPr>
        <w:spacing w:before="100" w:beforeAutospacing="1" w:after="100" w:afterAutospacing="1" w:line="240" w:lineRule="auto"/>
        <w:jc w:val="both"/>
      </w:pPr>
      <w:r w:rsidRPr="00FB1283"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>Componentes que explican las variaciones tarifarias</w:t>
      </w:r>
      <w:r>
        <w:rPr>
          <w:rFonts w:ascii="Aptos" w:eastAsia="Times New Roman" w:hAnsi="Aptos" w:cs="Segoe UI"/>
          <w:b/>
          <w:bCs/>
          <w:i/>
          <w:iCs/>
          <w:color w:val="5B9BD5" w:themeColor="accent1"/>
          <w:lang w:eastAsia="es-CO"/>
        </w:rPr>
        <w:t xml:space="preserve">: </w:t>
      </w:r>
      <w:r w:rsidR="00AA42BB" w:rsidRPr="00253604">
        <w:t>Del análisis efectuado se concluye que las variaciones tarifarias derivadas de la aplicación de la Resolución CRA 1032 de 2026 se explican principalmente por:</w:t>
      </w:r>
    </w:p>
    <w:p w14:paraId="7233BE13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la redefinición de los criterios para el reconocimiento de costos administrativos y operativos;</w:t>
      </w:r>
    </w:p>
    <w:p w14:paraId="460FD19E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la separación entre costos comparables y costos particulares dentro del CMO;</w:t>
      </w:r>
    </w:p>
    <w:p w14:paraId="67E977D5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la actualización de la Base de Capital Regulatoria y de la tasa de remuneración del capital;</w:t>
      </w:r>
    </w:p>
    <w:p w14:paraId="02A713A1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la incorporación de impuestos, contribuciones y tasas en un componente específico (CMICT);</w:t>
      </w:r>
    </w:p>
    <w:p w14:paraId="5EA8B485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la utilización del Consumo Corregido por Pérdidas (CCP) como denominador regulatorio de varios componentes; y</w:t>
      </w:r>
    </w:p>
    <w:p w14:paraId="09223288" w14:textId="77777777" w:rsidR="00AA42BB" w:rsidRPr="00091C9F" w:rsidRDefault="00AA42BB" w:rsidP="00AA42BB">
      <w:pPr>
        <w:pStyle w:val="Compact"/>
        <w:numPr>
          <w:ilvl w:val="0"/>
          <w:numId w:val="5"/>
        </w:numPr>
        <w:jc w:val="both"/>
        <w:rPr>
          <w:rFonts w:ascii="Aptos" w:eastAsia="Times New Roman" w:hAnsi="Aptos" w:cs="Segoe UI"/>
          <w:sz w:val="22"/>
          <w:szCs w:val="22"/>
          <w:lang w:val="es-CO" w:eastAsia="es-CO"/>
        </w:rPr>
      </w:pPr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 xml:space="preserve">la aplicación de los parámetros regulatorios diferenciados para prestadores del primer segmento, incluyendo las tasas r y </w:t>
      </w:r>
      <w:proofErr w:type="spellStart"/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kct</w:t>
      </w:r>
      <w:proofErr w:type="spellEnd"/>
      <w:r w:rsidRPr="00091C9F">
        <w:rPr>
          <w:rFonts w:ascii="Aptos" w:eastAsia="Times New Roman" w:hAnsi="Aptos" w:cs="Segoe UI"/>
          <w:sz w:val="22"/>
          <w:szCs w:val="22"/>
          <w:lang w:val="es-CO" w:eastAsia="es-CO"/>
        </w:rPr>
        <w:t>.</w:t>
      </w:r>
    </w:p>
    <w:p w14:paraId="34098040" w14:textId="77777777" w:rsidR="00AA42BB" w:rsidRDefault="00AA42BB" w:rsidP="00AA42BB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</w:p>
    <w:p w14:paraId="222FDC5B" w14:textId="77777777" w:rsidR="00AA42BB" w:rsidRPr="00AA42BB" w:rsidRDefault="00AA42BB" w:rsidP="00AA42BB">
      <w:pPr>
        <w:spacing w:before="100" w:beforeAutospacing="1" w:after="100" w:afterAutospacing="1" w:line="240" w:lineRule="auto"/>
        <w:jc w:val="both"/>
        <w:rPr>
          <w:rFonts w:ascii="Aptos" w:eastAsia="Times New Roman" w:hAnsi="Aptos" w:cs="Segoe UI"/>
          <w:lang w:eastAsia="es-CO"/>
        </w:rPr>
      </w:pPr>
    </w:p>
    <w:p w14:paraId="2D6D7797" w14:textId="6F8FEF6C" w:rsidR="00C37887" w:rsidRPr="00B35069" w:rsidRDefault="00C37887" w:rsidP="00E71400">
      <w:pPr>
        <w:pStyle w:val="Prrafodelista"/>
        <w:spacing w:after="0" w:line="240" w:lineRule="auto"/>
        <w:ind w:left="360"/>
        <w:jc w:val="both"/>
        <w:rPr>
          <w:rFonts w:ascii="Aptos" w:eastAsia="Times New Roman" w:hAnsi="Aptos" w:cs="Segoe UI"/>
          <w:sz w:val="24"/>
          <w:szCs w:val="24"/>
          <w:lang w:eastAsia="es-CO"/>
        </w:rPr>
        <w:sectPr w:rsidR="00C37887" w:rsidRPr="00B35069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B919A7F" w14:textId="77777777" w:rsidR="00C37887" w:rsidRPr="00DB4E7F" w:rsidRDefault="00C37887" w:rsidP="00C37887">
      <w:pPr>
        <w:pStyle w:val="Prrafodelista"/>
        <w:ind w:left="360"/>
        <w:jc w:val="both"/>
        <w:rPr>
          <w:rFonts w:ascii="Aptos" w:hAnsi="Aptos"/>
        </w:rPr>
      </w:pPr>
    </w:p>
    <w:p w14:paraId="7BE0D9C8" w14:textId="77777777" w:rsidR="00DA5E25" w:rsidRDefault="00C37887" w:rsidP="009D64BD">
      <w:pPr>
        <w:pStyle w:val="Ttulo1"/>
        <w:numPr>
          <w:ilvl w:val="0"/>
          <w:numId w:val="3"/>
        </w:numPr>
        <w:rPr>
          <w:rFonts w:ascii="Aptos" w:hAnsi="Aptos"/>
          <w:sz w:val="24"/>
          <w:szCs w:val="24"/>
        </w:rPr>
      </w:pPr>
      <w:r w:rsidRPr="00DB4E7F">
        <w:rPr>
          <w:rFonts w:ascii="Aptos" w:hAnsi="Aptos"/>
          <w:sz w:val="24"/>
          <w:szCs w:val="24"/>
        </w:rPr>
        <w:t>ANÁLISIS POR COSTO DE REFERENCIA</w:t>
      </w:r>
    </w:p>
    <w:p w14:paraId="4E1C8634" w14:textId="4680C5F3" w:rsidR="00B35069" w:rsidRPr="00F40A46" w:rsidRDefault="00F40A46" w:rsidP="00B35069">
      <w:pPr>
        <w:rPr>
          <w:rFonts w:ascii="Aptos" w:hAnsi="Aptos"/>
          <w:i/>
          <w:iCs/>
        </w:rPr>
      </w:pPr>
      <w:r w:rsidRPr="00AA42BB">
        <w:rPr>
          <w:b/>
          <w:bCs/>
          <w:i/>
          <w:iCs/>
        </w:rPr>
        <w:t>Acueducto</w:t>
      </w:r>
      <w:r w:rsidR="00AA42BB">
        <w:rPr>
          <w:i/>
          <w:iCs/>
        </w:rPr>
        <w:t>.</w:t>
      </w:r>
      <w:r w:rsidR="00B35069">
        <w:rPr>
          <w:i/>
          <w:iCs/>
        </w:rPr>
        <w:t xml:space="preserve"> </w:t>
      </w:r>
      <w:r w:rsidR="00B35069" w:rsidRPr="00B35069">
        <w:rPr>
          <w:rFonts w:ascii="Aptos" w:hAnsi="Aptos"/>
          <w:i/>
          <w:iCs/>
        </w:rPr>
        <w:t>Evaluación de las variaciones tarifarias entre la Resolución CRA 688 de 2014 y la Resolución CRA 1032 de 2026</w:t>
      </w:r>
    </w:p>
    <w:tbl>
      <w:tblPr>
        <w:tblW w:w="14320" w:type="dxa"/>
        <w:tblInd w:w="-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178"/>
        <w:gridCol w:w="1418"/>
        <w:gridCol w:w="1559"/>
        <w:gridCol w:w="1276"/>
        <w:gridCol w:w="5386"/>
        <w:gridCol w:w="1559"/>
      </w:tblGrid>
      <w:tr w:rsidR="005A308C" w:rsidRPr="00DB4E7F" w14:paraId="154F7FD9" w14:textId="77777777" w:rsidTr="00F40A46">
        <w:trPr>
          <w:trHeight w:val="20"/>
          <w:tblHeader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7C0FB581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COMPONENTE 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01B30CC7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CRA 688 ($/M³) 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4CFDEBF5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CRA 1032 ($/M³)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445202A7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VARIACIÓN ABSOLUTA ($/M³) 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193C99AF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VARIACIÓN (%) 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44E0A052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ANÁLISIS TÉCNICO-REGULATORIO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78734A25" w14:textId="77777777" w:rsidR="005A308C" w:rsidRPr="00DB4E7F" w:rsidRDefault="005A308C" w:rsidP="00DA5E2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IMPACTO SOBRE LA TARIFA </w:t>
            </w:r>
          </w:p>
        </w:tc>
      </w:tr>
      <w:tr w:rsidR="005A308C" w:rsidRPr="00DB4E7F" w14:paraId="2F4F77D1" w14:textId="77777777" w:rsidTr="00BA3355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76D1F5F1" w14:textId="7DEE9902" w:rsidR="005A308C" w:rsidRPr="00BA3355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CARGO FIJO</w:t>
            </w:r>
          </w:p>
          <w:p w14:paraId="6FD513BC" w14:textId="4570D078" w:rsidR="005A308C" w:rsidRPr="00BA3355" w:rsidRDefault="00F40A46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COSTO MEDIO DE ADMINISTRACIÓN </w:t>
            </w:r>
            <w:r w:rsidR="005A308C"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(CMA)</w:t>
            </w:r>
          </w:p>
          <w:p w14:paraId="5C6316CB" w14:textId="13FA776B" w:rsidR="005A308C" w:rsidRPr="00BA3355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ACUEDUCTO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05A16F70" w14:textId="7CBF6C7E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$12.027,92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41010EA3" w14:textId="347161BD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$9.308,20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609B59C1" w14:textId="30BE49E5" w:rsidR="005A308C" w:rsidRPr="00BA3355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-$2.719,72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22DBBFAE" w14:textId="00C3AAF8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−22,6%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hideMark/>
          </w:tcPr>
          <w:p w14:paraId="635533F3" w14:textId="77777777" w:rsidR="005A308C" w:rsidRPr="00DB4E7F" w:rsidRDefault="005A308C" w:rsidP="00F40A46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La variación obedece a la redefinición de los Costos Administrativos Comparables (CAC), la exclusión de gastos no reconocibles y la aplicación de parámetros de eficiencia establecidos en la Resolución CRA 1032.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AE9F7"/>
            <w:vAlign w:val="center"/>
            <w:hideMark/>
          </w:tcPr>
          <w:p w14:paraId="56B6E4E4" w14:textId="2737EE66" w:rsidR="005A308C" w:rsidRPr="00DB4E7F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Reducción</w:t>
            </w:r>
          </w:p>
        </w:tc>
      </w:tr>
      <w:tr w:rsidR="005A308C" w:rsidRPr="00DB4E7F" w14:paraId="69BEEAE8" w14:textId="77777777" w:rsidTr="00BA3355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16B468F1" w14:textId="0AC405F6" w:rsidR="005A308C" w:rsidRPr="00BA3355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CARGO POR CONSUMO</w:t>
            </w:r>
          </w:p>
          <w:p w14:paraId="222A9B20" w14:textId="1D2569CA" w:rsidR="005A308C" w:rsidRPr="00BA3355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ACUEDUCTO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7B2D734E" w14:textId="56B21FFF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$3.572,41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2EA49CBF" w14:textId="1116D837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$4.914,54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2939AE41" w14:textId="49A31985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color w:val="000000" w:themeColor="text1"/>
                <w:lang w:eastAsia="es-CO"/>
              </w:rPr>
              <w:t>$1.342,13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128DEC0A" w14:textId="6D82AFE7" w:rsidR="005A308C" w:rsidRPr="00BA3355" w:rsidRDefault="005A308C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Calibri"/>
                <w:color w:val="000000" w:themeColor="text1"/>
                <w:sz w:val="20"/>
                <w:szCs w:val="20"/>
                <w:lang w:eastAsia="es-CO"/>
              </w:rPr>
              <w:t>+37,6%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hideMark/>
          </w:tcPr>
          <w:p w14:paraId="69A4FC4B" w14:textId="77777777" w:rsidR="005A308C" w:rsidRPr="00DB4E7F" w:rsidRDefault="005A308C" w:rsidP="00F40A46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El efecto tarifario total resulta de la interacción entre los cinco componentes tarifarios. Las mayores variaciones se concentran en el CMICT y en la actualización del CMI, mientras que los cambios en CMA y CMO responden principalmente a ajustes metodológicos y criterios de eficiencia.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  <w:hideMark/>
          </w:tcPr>
          <w:p w14:paraId="796FC014" w14:textId="27C17827" w:rsidR="005A308C" w:rsidRPr="00DB4E7F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FFFFFF"/>
                <w:sz w:val="18"/>
                <w:szCs w:val="18"/>
                <w:lang w:eastAsia="es-CO"/>
              </w:rPr>
              <w:t>Alto</w:t>
            </w:r>
          </w:p>
        </w:tc>
      </w:tr>
      <w:tr w:rsidR="005A308C" w:rsidRPr="00DB4E7F" w14:paraId="27613931" w14:textId="77777777" w:rsidTr="00BA3355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3654F771" w14:textId="22C2058A" w:rsidR="005A308C" w:rsidRPr="00BA3355" w:rsidRDefault="00BA3355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Costo Medio De Operación</w:t>
            </w:r>
          </w:p>
          <w:p w14:paraId="74A5683D" w14:textId="32BAAFE1" w:rsidR="005A308C" w:rsidRPr="00BA3355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0C9A8C6" w14:textId="31F5AB33" w:rsidR="005A308C" w:rsidRPr="00BA3355" w:rsidRDefault="00BA3355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Acueducto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735C72F1" w14:textId="5F311F3D" w:rsidR="005A308C" w:rsidRPr="00BA3355" w:rsidRDefault="00DB4E7F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color w:val="000000" w:themeColor="text1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Arial"/>
                <w:color w:val="000000" w:themeColor="text1"/>
                <w:sz w:val="18"/>
                <w:szCs w:val="18"/>
                <w:lang w:eastAsia="es-CO"/>
              </w:rPr>
              <w:t>$1.631,76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3CB27E8A" w14:textId="05C9658D" w:rsidR="005A308C" w:rsidRPr="00BA3355" w:rsidRDefault="00DB4E7F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</w:pPr>
            <w:r w:rsidRPr="00BA3355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  <w:t>$2.412,02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55A6D11F" w14:textId="77777777" w:rsidR="005A308C" w:rsidRDefault="00DB4E7F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</w:pPr>
            <w:r w:rsidRPr="00BA3355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  <w:t>$ 780,26</w:t>
            </w:r>
          </w:p>
          <w:p w14:paraId="32296949" w14:textId="77777777" w:rsidR="00BA3355" w:rsidRDefault="00BA3355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</w:pPr>
          </w:p>
          <w:p w14:paraId="26AD38B2" w14:textId="675A6BB7" w:rsidR="00BA3355" w:rsidRPr="00BA3355" w:rsidRDefault="00BA3355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  <w:t>(contribuye 58% del incremento)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5E64BFDB" w14:textId="3C3FF28B" w:rsidR="005A308C" w:rsidRPr="00BA3355" w:rsidRDefault="00DB4E7F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</w:pPr>
            <w:r w:rsidRPr="00BA3355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  <w:lang w:eastAsia="es-CO"/>
              </w:rPr>
              <w:t>+47,8%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5A21216E" w14:textId="74E1E02A" w:rsidR="005A308C" w:rsidRPr="00DB4E7F" w:rsidRDefault="00BA3355" w:rsidP="00F40A46">
            <w:pPr>
              <w:spacing w:after="0" w:line="240" w:lineRule="auto"/>
              <w:textAlignment w:val="baseline"/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</w:pPr>
            <w:r w:rsidRPr="00A06DC6"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Aclaración sobre el ajuste del SMMLV 2026. La modificación normativa por $5.098.470.861 incorporada al COT obedece al incremento del salario mínimo mensual legal vigente para 2026, fijado por el Decreto 1469 de 2025 del Ministerio del Trabajo</w:t>
            </w:r>
            <w:r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: CONTRIBUCIÓN DEL 6% EN EL COT</w:t>
            </w:r>
            <w:r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 xml:space="preserve"> (antes de afectación capital de trabajo)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440C4FE1" w14:textId="62D53B3F" w:rsidR="005A308C" w:rsidRPr="00DB4E7F" w:rsidRDefault="00BA3355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FFFFFF"/>
                <w:sz w:val="18"/>
                <w:szCs w:val="18"/>
                <w:lang w:eastAsia="es-CO"/>
              </w:rPr>
            </w:pPr>
            <w:r>
              <w:rPr>
                <w:rFonts w:ascii="Aptos" w:eastAsia="Times New Roman" w:hAnsi="Aptos" w:cs="Arial"/>
                <w:b/>
                <w:bCs/>
                <w:color w:val="FFFFFF"/>
                <w:sz w:val="18"/>
                <w:szCs w:val="18"/>
                <w:lang w:eastAsia="es-CO"/>
              </w:rPr>
              <w:t>Alto</w:t>
            </w:r>
          </w:p>
        </w:tc>
      </w:tr>
      <w:tr w:rsidR="005A308C" w:rsidRPr="00DB4E7F" w14:paraId="4E21A687" w14:textId="77777777" w:rsidTr="00BA3355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38BF4A9F" w14:textId="634E26FB" w:rsidR="005A308C" w:rsidRPr="00DB4E7F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Costo Medio 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De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Inversión 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(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CMI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)</w:t>
            </w:r>
          </w:p>
          <w:p w14:paraId="1D9E9838" w14:textId="471B9540" w:rsidR="005A308C" w:rsidRPr="00DB4E7F" w:rsidRDefault="00BA3355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Acueducto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684269BE" w14:textId="7C5A1F8A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Calibri"/>
                <w:color w:val="000000"/>
                <w:sz w:val="20"/>
                <w:szCs w:val="20"/>
                <w:lang w:eastAsia="es-CO"/>
              </w:rPr>
              <w:t>$1.933,88</w:t>
            </w:r>
          </w:p>
          <w:p w14:paraId="56DF9037" w14:textId="2878E426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59AC60ED" w14:textId="40D558C0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Calibri"/>
                <w:color w:val="000000"/>
                <w:sz w:val="20"/>
                <w:szCs w:val="20"/>
                <w:lang w:eastAsia="es-CO"/>
              </w:rPr>
              <w:t>$2.397,55</w:t>
            </w:r>
          </w:p>
          <w:p w14:paraId="450F40DC" w14:textId="53BA9A83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6800DABC" w14:textId="77777777" w:rsidR="005A308C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$ 463,67</w:t>
            </w:r>
          </w:p>
          <w:p w14:paraId="45703D5B" w14:textId="77777777" w:rsidR="00BA3355" w:rsidRPr="00F40A46" w:rsidRDefault="00BA3355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</w:pPr>
          </w:p>
          <w:p w14:paraId="75380CD0" w14:textId="38C6687C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(contribuye 34,5%)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0250800D" w14:textId="2EA32F2B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000000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Calibri"/>
                <w:color w:val="000000"/>
                <w:sz w:val="20"/>
                <w:szCs w:val="20"/>
                <w:lang w:eastAsia="es-CO"/>
              </w:rPr>
              <w:t>+24,0%</w:t>
            </w:r>
          </w:p>
          <w:p w14:paraId="654D2932" w14:textId="45556175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hideMark/>
          </w:tcPr>
          <w:p w14:paraId="5C323F07" w14:textId="77777777" w:rsidR="005A308C" w:rsidRPr="00DB4E7F" w:rsidRDefault="005A308C" w:rsidP="00F40A46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  <w:hideMark/>
          </w:tcPr>
          <w:p w14:paraId="0EA8D48D" w14:textId="15B3F3C3" w:rsidR="005A308C" w:rsidRPr="00DB4E7F" w:rsidRDefault="00BA3355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BA3355"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  <w:tr w:rsidR="005A308C" w:rsidRPr="00DB4E7F" w14:paraId="774B324B" w14:textId="77777777" w:rsidTr="00BA3355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6D035D70" w14:textId="150A7155" w:rsidR="00DB4E7F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Costo Medio 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De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Impuestos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,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Contribuciones 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Y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Tasas 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(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CMICT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) –</w:t>
            </w:r>
          </w:p>
          <w:p w14:paraId="617426AC" w14:textId="25BFD5D8" w:rsidR="005A308C" w:rsidRPr="00DB4E7F" w:rsidRDefault="005A308C" w:rsidP="00BA3355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="00BA3355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cueducto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3FFC7704" w14:textId="7788A15D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$ 6,77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536EA8D2" w14:textId="4FA36126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$ 104,97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67085970" w14:textId="49D2CC17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$ 98,20</w:t>
            </w:r>
          </w:p>
          <w:p w14:paraId="574F6E5C" w14:textId="1B3EBF96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(contribuye 7%)</w:t>
            </w:r>
          </w:p>
        </w:tc>
        <w:tc>
          <w:tcPr>
            <w:tcW w:w="127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1D4992BF" w14:textId="36EC6DAA" w:rsidR="005A308C" w:rsidRPr="00F40A46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$1450,70%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hideMark/>
          </w:tcPr>
          <w:p w14:paraId="2A8F5C44" w14:textId="77777777" w:rsidR="005A308C" w:rsidRPr="00DB4E7F" w:rsidRDefault="005A308C" w:rsidP="00F40A46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  <w:t>La principal causa del incremento es la creación de un componente independiente para impuestos, contribuciones y tasas. La nueva metodología incorpora expresamente el GMF, cuotas regulatorias, tasas ambientales y otros tributos que anteriormente se remuneraban de forma implícita en otros componentes tarifarios.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  <w:hideMark/>
          </w:tcPr>
          <w:p w14:paraId="58D35CFE" w14:textId="3076A068" w:rsidR="005A308C" w:rsidRPr="00DB4E7F" w:rsidRDefault="005A308C" w:rsidP="00DB4E7F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color w:val="FFFFFF"/>
                <w:sz w:val="18"/>
                <w:szCs w:val="18"/>
                <w:lang w:eastAsia="es-CO"/>
              </w:rPr>
              <w:t>Alto</w:t>
            </w:r>
          </w:p>
        </w:tc>
      </w:tr>
    </w:tbl>
    <w:p w14:paraId="4D8C8313" w14:textId="77777777" w:rsidR="00F40A46" w:rsidRDefault="00F40A46">
      <w:pPr>
        <w:rPr>
          <w:rFonts w:ascii="Aptos" w:hAnsi="Aptos"/>
        </w:rPr>
      </w:pPr>
    </w:p>
    <w:p w14:paraId="275BB1D2" w14:textId="77777777" w:rsidR="00CE6674" w:rsidRDefault="00CE6674">
      <w:pPr>
        <w:rPr>
          <w:rFonts w:ascii="Aptos" w:hAnsi="Aptos"/>
        </w:rPr>
      </w:pPr>
    </w:p>
    <w:p w14:paraId="3625051C" w14:textId="4541D179" w:rsidR="00CE6674" w:rsidRDefault="00CE6674">
      <w:pPr>
        <w:rPr>
          <w:rFonts w:ascii="Aptos" w:hAnsi="Aptos"/>
        </w:rPr>
      </w:pPr>
      <w:r>
        <w:rPr>
          <w:rFonts w:ascii="Aptos" w:hAnsi="Aptos"/>
        </w:rPr>
        <w:br w:type="page"/>
      </w:r>
    </w:p>
    <w:p w14:paraId="458D0EA3" w14:textId="5D229FD2" w:rsidR="00DA5E25" w:rsidRPr="00F40A46" w:rsidRDefault="00F40A46">
      <w:pPr>
        <w:rPr>
          <w:rFonts w:ascii="Aptos" w:hAnsi="Aptos"/>
          <w:i/>
          <w:iCs/>
        </w:rPr>
      </w:pPr>
      <w:r w:rsidRPr="00B35069">
        <w:rPr>
          <w:rFonts w:ascii="Aptos" w:hAnsi="Aptos"/>
          <w:b/>
          <w:bCs/>
          <w:i/>
          <w:iCs/>
        </w:rPr>
        <w:t>Alcantarillado</w:t>
      </w:r>
      <w:r w:rsidR="00B35069" w:rsidRPr="00B35069">
        <w:t xml:space="preserve"> </w:t>
      </w:r>
      <w:r w:rsidR="00B35069" w:rsidRPr="00B35069">
        <w:rPr>
          <w:rFonts w:ascii="Aptos" w:hAnsi="Aptos"/>
          <w:i/>
          <w:iCs/>
        </w:rPr>
        <w:t>Evaluación de las variaciones tarifarias entre la Resolución CRA 688 de 2014 y la Resolución CRA 1032 de 2026</w:t>
      </w:r>
    </w:p>
    <w:tbl>
      <w:tblPr>
        <w:tblW w:w="14320" w:type="dxa"/>
        <w:tblInd w:w="-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178"/>
        <w:gridCol w:w="1418"/>
        <w:gridCol w:w="1701"/>
        <w:gridCol w:w="1134"/>
        <w:gridCol w:w="5386"/>
        <w:gridCol w:w="1559"/>
      </w:tblGrid>
      <w:tr w:rsidR="00F40A46" w:rsidRPr="00DB4E7F" w14:paraId="4B7CBDFC" w14:textId="77777777" w:rsidTr="00AA42BB">
        <w:trPr>
          <w:trHeight w:val="602"/>
          <w:tblHeader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62A1CDB1" w14:textId="77777777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COMPONENTE 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745CFD07" w14:textId="23FC2049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 xml:space="preserve">CRA 688 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2E63EDCE" w14:textId="4F27C73E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CRA 1032 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4AA6BFD7" w14:textId="370E4A92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 xml:space="preserve">VARIACIÓN ABSOLUTA </w:t>
            </w:r>
            <w:r w:rsidR="00CE6674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($)</w:t>
            </w: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7A1A8A4C" w14:textId="77777777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VARIACIÓN (%) 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673874BA" w14:textId="77777777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ANÁLISIS TÉCNICO-REGULATORIO 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bottom"/>
            <w:hideMark/>
          </w:tcPr>
          <w:p w14:paraId="7BE2EBCB" w14:textId="77777777" w:rsidR="00F40A46" w:rsidRPr="00DB4E7F" w:rsidRDefault="00F40A46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156082"/>
                <w:sz w:val="18"/>
                <w:szCs w:val="18"/>
                <w:lang w:eastAsia="es-CO"/>
              </w:rPr>
              <w:t>IMPACTO SOBRE LA TARIFA </w:t>
            </w:r>
          </w:p>
        </w:tc>
      </w:tr>
      <w:tr w:rsidR="00F40A46" w:rsidRPr="00DB4E7F" w14:paraId="657EF45D" w14:textId="77777777" w:rsidTr="00AA42BB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0B91547A" w14:textId="779DB52A" w:rsidR="00F40A46" w:rsidRDefault="00F40A46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CARGO FIJO</w:t>
            </w:r>
          </w:p>
          <w:p w14:paraId="28AC9EF8" w14:textId="77777777" w:rsidR="00CE6674" w:rsidRPr="00CE6674" w:rsidRDefault="00CE6674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</w:p>
          <w:p w14:paraId="61627D52" w14:textId="17E6BC15" w:rsidR="00F40A46" w:rsidRPr="00CE6674" w:rsidRDefault="00CE6674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 xml:space="preserve">Costo Medio De Administración </w:t>
            </w:r>
            <w:r w:rsidR="00F40A46"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(CMA)</w:t>
            </w:r>
          </w:p>
          <w:p w14:paraId="1A6EAB0D" w14:textId="23B16EA9" w:rsidR="00F40A46" w:rsidRPr="00CE6674" w:rsidRDefault="00F40A46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A</w:t>
            </w: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LCANTARILLADO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293EC3E5" w14:textId="5C124507" w:rsidR="00F40A46" w:rsidRPr="00CE6674" w:rsidRDefault="00A06DC6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$7.813,81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2EDF74F4" w14:textId="33B8E50D" w:rsidR="00F40A46" w:rsidRPr="00CE6674" w:rsidRDefault="00A06DC6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$9.666,45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4D967E12" w14:textId="16389514" w:rsidR="00F40A46" w:rsidRPr="00CE6674" w:rsidRDefault="00A06DC6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$ 1.852,64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46C3A465" w14:textId="1DAE79DB" w:rsidR="00F40A46" w:rsidRPr="00CE6674" w:rsidRDefault="00A06DC6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+23,7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5A867F98" w14:textId="77763355" w:rsidR="00F40A46" w:rsidRPr="00DB4E7F" w:rsidRDefault="00F40A46" w:rsidP="008B4402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74D9E04E" w14:textId="3AC182BD" w:rsidR="00F40A46" w:rsidRPr="00CE6674" w:rsidRDefault="00CE6674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</w:pPr>
            <w:r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  <w:tr w:rsidR="00CE6674" w:rsidRPr="00DB4E7F" w14:paraId="41E7D384" w14:textId="77777777" w:rsidTr="00AA42BB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  <w:hideMark/>
          </w:tcPr>
          <w:p w14:paraId="52718081" w14:textId="55A06617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CARGO POR CONSUMO</w:t>
            </w:r>
          </w:p>
          <w:p w14:paraId="675BC434" w14:textId="26F76285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A</w:t>
            </w: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LCANTARILLADO</w:t>
            </w:r>
            <w:r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 xml:space="preserve"> </w:t>
            </w: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($/M³)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2A0852D3" w14:textId="6A707A4B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</w:t>
            </w: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2.612,83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6449CE8D" w14:textId="6C10018A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$ 3.155,07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7180C426" w14:textId="7D16B025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$ 542,24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DEEAF6" w:themeFill="accent1" w:themeFillTint="33"/>
            <w:vAlign w:val="center"/>
          </w:tcPr>
          <w:p w14:paraId="22D523AE" w14:textId="4EEEEB7C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+20,8%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65C69EF4" w14:textId="0C9C4CC7" w:rsidR="00CE6674" w:rsidRPr="00DB4E7F" w:rsidRDefault="00CE6674" w:rsidP="00CE6674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0FCCE131" w14:textId="554DD46E" w:rsidR="00CE6674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</w:pPr>
            <w:r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  <w:tr w:rsidR="00F40A46" w:rsidRPr="00DB4E7F" w14:paraId="561DA8CD" w14:textId="77777777" w:rsidTr="00AA42BB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75AA4A10" w14:textId="7A811C6B" w:rsidR="00F40A46" w:rsidRPr="00DB4E7F" w:rsidRDefault="00CE6674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Costo Medio De Operación</w:t>
            </w:r>
          </w:p>
          <w:p w14:paraId="1C493E1E" w14:textId="77777777" w:rsidR="00F40A46" w:rsidRDefault="00CE6674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A</w:t>
            </w:r>
            <w:r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lcantarillado</w:t>
            </w:r>
          </w:p>
          <w:p w14:paraId="09679B7B" w14:textId="5474A67A" w:rsidR="00CE6674" w:rsidRPr="00DB4E7F" w:rsidRDefault="00CE6674" w:rsidP="00F40A46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($/M³)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66C472E1" w14:textId="5036D289" w:rsidR="00F40A46" w:rsidRPr="00CE6674" w:rsidRDefault="00CE6674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$</w:t>
            </w:r>
            <w:r w:rsidR="00BA3355" w:rsidRPr="00CE6674">
              <w:rPr>
                <w:rFonts w:ascii="Aptos" w:eastAsia="Times New Roman" w:hAnsi="Aptos" w:cs="Arial"/>
                <w:color w:val="000000"/>
                <w:sz w:val="20"/>
                <w:szCs w:val="20"/>
                <w:lang w:eastAsia="es-CO"/>
              </w:rPr>
              <w:t>1.385,58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19782098" w14:textId="0CA6506F" w:rsidR="00F40A46" w:rsidRPr="00CE6674" w:rsidRDefault="00BA3355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  <w:t>$1.588,81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442692CA" w14:textId="77777777" w:rsidR="00F40A46" w:rsidRDefault="00BA3355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  <w:t>$ 203,23</w:t>
            </w:r>
          </w:p>
          <w:p w14:paraId="30872E8D" w14:textId="7DBA0C04" w:rsidR="00AA42BB" w:rsidRPr="00CE6674" w:rsidRDefault="00AA42BB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 xml:space="preserve">(contribuye 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3</w:t>
            </w: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7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,5</w:t>
            </w: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%)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4D11AE10" w14:textId="26F45D6B" w:rsidR="00F40A46" w:rsidRPr="00CE6674" w:rsidRDefault="00BA3355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</w:pPr>
            <w:r w:rsidRPr="00CE6674">
              <w:rPr>
                <w:rFonts w:ascii="Aptos" w:eastAsia="Times New Roman" w:hAnsi="Aptos" w:cs="Times New Roman"/>
                <w:sz w:val="20"/>
                <w:szCs w:val="20"/>
                <w:lang w:eastAsia="es-CO"/>
              </w:rPr>
              <w:t>+14,7%.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3A4F89A8" w14:textId="7E4AE423" w:rsidR="00F40A46" w:rsidRPr="00DB4E7F" w:rsidRDefault="00F40A46" w:rsidP="008B4402">
            <w:pPr>
              <w:spacing w:after="0" w:line="240" w:lineRule="auto"/>
              <w:textAlignment w:val="baseline"/>
              <w:rPr>
                <w:rFonts w:ascii="Aptos" w:eastAsia="Times New Roman" w:hAnsi="Aptos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1860D6D0" w14:textId="23C824C1" w:rsidR="00F40A46" w:rsidRPr="00CE6674" w:rsidRDefault="00CE6674" w:rsidP="008B4402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FFFFFF" w:themeColor="background1"/>
                <w:sz w:val="18"/>
                <w:szCs w:val="18"/>
                <w:lang w:eastAsia="es-CO"/>
              </w:rPr>
            </w:pPr>
            <w:r>
              <w:rPr>
                <w:rFonts w:ascii="Aptos" w:eastAsia="Times New Roman" w:hAnsi="Aptos" w:cs="Arial"/>
                <w:b/>
                <w:bCs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  <w:tr w:rsidR="00B35069" w:rsidRPr="00DB4E7F" w14:paraId="08F297D7" w14:textId="77777777" w:rsidTr="00AA42BB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54EC7C3A" w14:textId="5D6C4D2A" w:rsidR="00B35069" w:rsidRPr="00DB4E7F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Costo Medio 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De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Inversión 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(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CMI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)</w:t>
            </w:r>
          </w:p>
          <w:p w14:paraId="5DC91899" w14:textId="77777777" w:rsidR="00B35069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="00CE6674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lcantarillado</w:t>
            </w:r>
          </w:p>
          <w:p w14:paraId="0F668F6C" w14:textId="06C18E43" w:rsidR="00CE6674" w:rsidRPr="00DB4E7F" w:rsidRDefault="00CE6674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($/M³)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3DD87DF6" w14:textId="5AD4B793" w:rsidR="00B35069" w:rsidRPr="00CE6674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$ 1.184,82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053ACFCA" w14:textId="2D937545" w:rsidR="00B35069" w:rsidRPr="00CE6674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$ 1.387,92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6A80DF75" w14:textId="77777777" w:rsidR="00B35069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$ 203,09</w:t>
            </w:r>
          </w:p>
          <w:p w14:paraId="521DA2A5" w14:textId="6D097CA5" w:rsidR="00AA42BB" w:rsidRPr="00CE6674" w:rsidRDefault="00AA42BB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 xml:space="preserve">(contribuye 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3</w:t>
            </w: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7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,5</w:t>
            </w: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%)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43C66039" w14:textId="51C1E709" w:rsidR="00B35069" w:rsidRPr="00CE6674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17,10%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2C665448" w14:textId="131AC841" w:rsidR="00B35069" w:rsidRPr="00DB4E7F" w:rsidRDefault="00A06DC6" w:rsidP="00B35069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A06DC6"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  <w:t xml:space="preserve">Para el servicio público domiciliario de alcantarillado, no se tienen contempladas inversiones a futuro, ni se cuenta con activos que hayan sido construidos en el POIR de la R.688. El valor que se tenía de este </w:t>
            </w:r>
            <w:r w:rsidRPr="00A06DC6"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  <w:t>componente</w:t>
            </w:r>
            <w:r w:rsidRPr="00A06DC6"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  <w:t xml:space="preserve"> corresponde al valor del peaje que fue definido por la CRA mediante actuación administrativa particular, en las Resoluciones CRA No. 977 de 2022 y 978 de 2023.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6CBC255F" w14:textId="0DA83106" w:rsidR="00B35069" w:rsidRPr="00DB4E7F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B35069"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  <w:tr w:rsidR="00B35069" w:rsidRPr="00DB4E7F" w14:paraId="411846BB" w14:textId="77777777" w:rsidTr="00AA42BB">
        <w:trPr>
          <w:trHeight w:val="20"/>
        </w:trPr>
        <w:tc>
          <w:tcPr>
            <w:tcW w:w="194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5DB7BCFD" w14:textId="5A367E5D" w:rsidR="00B35069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Costo Medio 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De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Impuestos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,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Contribuciones 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Y 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Tasas 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(</w:t>
            </w: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CMICT</w:t>
            </w:r>
            <w:r w:rsidR="00CE6674"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) –</w:t>
            </w:r>
          </w:p>
          <w:p w14:paraId="1432CE17" w14:textId="77777777" w:rsidR="00B35069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4E7F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="00CE6674">
              <w:rPr>
                <w:rFonts w:ascii="Aptos" w:eastAsia="Times New Roman" w:hAnsi="Aptos" w:cs="Arial"/>
                <w:b/>
                <w:bCs/>
                <w:color w:val="000000"/>
                <w:sz w:val="18"/>
                <w:szCs w:val="18"/>
                <w:lang w:eastAsia="es-CO"/>
              </w:rPr>
              <w:t>lcantarillado</w:t>
            </w:r>
          </w:p>
          <w:p w14:paraId="6CDA245A" w14:textId="7C18FF80" w:rsidR="00CE6674" w:rsidRPr="00DB4E7F" w:rsidRDefault="00CE6674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b/>
                <w:bCs/>
                <w:sz w:val="18"/>
                <w:szCs w:val="18"/>
                <w:lang w:eastAsia="es-CO"/>
              </w:rPr>
            </w:pPr>
            <w:r w:rsidRPr="00CE6674">
              <w:rPr>
                <w:rFonts w:ascii="Aptos" w:eastAsia="Times New Roman" w:hAnsi="Aptos" w:cs="Arial"/>
                <w:b/>
                <w:bCs/>
                <w:sz w:val="18"/>
                <w:szCs w:val="18"/>
                <w:lang w:eastAsia="es-CO"/>
              </w:rPr>
              <w:t>($/M³)</w:t>
            </w:r>
          </w:p>
        </w:tc>
        <w:tc>
          <w:tcPr>
            <w:tcW w:w="117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07B186DC" w14:textId="4B4FD31F" w:rsidR="00B35069" w:rsidRPr="00CE6674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42,43</w:t>
            </w:r>
          </w:p>
        </w:tc>
        <w:tc>
          <w:tcPr>
            <w:tcW w:w="141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408F6AA2" w14:textId="3BB687A3" w:rsidR="00B35069" w:rsidRPr="00CE6674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$ 178,34</w:t>
            </w:r>
          </w:p>
        </w:tc>
        <w:tc>
          <w:tcPr>
            <w:tcW w:w="170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2E39BB0A" w14:textId="77777777" w:rsidR="00B35069" w:rsidRDefault="00B35069" w:rsidP="00CE6674">
            <w:pPr>
              <w:spacing w:after="0" w:line="240" w:lineRule="auto"/>
              <w:jc w:val="center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CE6674">
              <w:rPr>
                <w:rFonts w:ascii="Aptos" w:hAnsi="Aptos"/>
                <w:sz w:val="20"/>
                <w:szCs w:val="20"/>
              </w:rPr>
              <w:t>$ 135,91</w:t>
            </w:r>
          </w:p>
          <w:p w14:paraId="1FBF2ED1" w14:textId="59AB4CFE" w:rsidR="00AA42BB" w:rsidRPr="00CE6674" w:rsidRDefault="00AA42BB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 xml:space="preserve">(contribuye 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25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,</w:t>
            </w:r>
            <w:r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1</w:t>
            </w:r>
            <w:r w:rsidRPr="00F40A46"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  <w:t>%)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0473B93C" w14:textId="57DBEB5B" w:rsidR="00B35069" w:rsidRPr="00CE6674" w:rsidRDefault="00AA42BB" w:rsidP="00CE6674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20"/>
                <w:szCs w:val="20"/>
                <w:lang w:eastAsia="es-CO"/>
              </w:rPr>
            </w:pPr>
            <w:r>
              <w:rPr>
                <w:rFonts w:ascii="Aptos" w:hAnsi="Aptos"/>
                <w:sz w:val="20"/>
                <w:szCs w:val="20"/>
              </w:rPr>
              <w:t>+</w:t>
            </w:r>
            <w:r w:rsidR="00B35069" w:rsidRPr="00CE6674">
              <w:rPr>
                <w:rFonts w:ascii="Aptos" w:hAnsi="Aptos"/>
                <w:sz w:val="20"/>
                <w:szCs w:val="20"/>
              </w:rPr>
              <w:t>320,30%</w:t>
            </w:r>
          </w:p>
        </w:tc>
        <w:tc>
          <w:tcPr>
            <w:tcW w:w="538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6695D3D7" w14:textId="58ED79CC" w:rsidR="00B35069" w:rsidRPr="00DB4E7F" w:rsidRDefault="00B35069" w:rsidP="00B35069">
            <w:pPr>
              <w:spacing w:after="0" w:line="240" w:lineRule="auto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AA42BB"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  <w:t>El incremento obedece a la misma modificación metodológica introducida por la Resolución CRA 1032 para el reconocimiento explícito de tributos y contribuciones.</w:t>
            </w:r>
          </w:p>
        </w:tc>
        <w:tc>
          <w:tcPr>
            <w:tcW w:w="155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E0000"/>
            <w:vAlign w:val="center"/>
          </w:tcPr>
          <w:p w14:paraId="1CECBCEB" w14:textId="0ECF5249" w:rsidR="00B35069" w:rsidRPr="00DB4E7F" w:rsidRDefault="00B35069" w:rsidP="00B35069">
            <w:pPr>
              <w:spacing w:after="0" w:line="240" w:lineRule="auto"/>
              <w:jc w:val="center"/>
              <w:textAlignment w:val="baseline"/>
              <w:rPr>
                <w:rFonts w:ascii="Aptos" w:eastAsia="Times New Roman" w:hAnsi="Aptos" w:cs="Segoe UI"/>
                <w:sz w:val="18"/>
                <w:szCs w:val="18"/>
                <w:lang w:eastAsia="es-CO"/>
              </w:rPr>
            </w:pPr>
            <w:r w:rsidRPr="00B35069">
              <w:rPr>
                <w:rFonts w:ascii="Aptos" w:eastAsia="Times New Roman" w:hAnsi="Aptos" w:cs="Segoe UI"/>
                <w:color w:val="FFFFFF" w:themeColor="background1"/>
                <w:sz w:val="18"/>
                <w:szCs w:val="18"/>
                <w:lang w:eastAsia="es-CO"/>
              </w:rPr>
              <w:t>Alto</w:t>
            </w:r>
          </w:p>
        </w:tc>
      </w:tr>
    </w:tbl>
    <w:p w14:paraId="224108FD" w14:textId="77777777" w:rsidR="00F40A46" w:rsidRPr="00DB4E7F" w:rsidRDefault="00F40A46" w:rsidP="00F40A46">
      <w:pPr>
        <w:rPr>
          <w:rFonts w:ascii="Aptos" w:hAnsi="Aptos"/>
        </w:rPr>
      </w:pPr>
    </w:p>
    <w:sectPr w:rsidR="00F40A46" w:rsidRPr="00DB4E7F" w:rsidSect="00C3788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A9BE8B8C"/>
    <w:lvl w:ilvl="0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color w:val="0070C0"/>
        <w:sz w:val="28"/>
        <w:szCs w:val="28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D77E4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286ADA"/>
    <w:multiLevelType w:val="hybridMultilevel"/>
    <w:tmpl w:val="014E7B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64BAB"/>
    <w:multiLevelType w:val="hybridMultilevel"/>
    <w:tmpl w:val="AC6C562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825019"/>
    <w:multiLevelType w:val="hybridMultilevel"/>
    <w:tmpl w:val="2FF424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25956"/>
    <w:multiLevelType w:val="hybridMultilevel"/>
    <w:tmpl w:val="FA3A3808"/>
    <w:lvl w:ilvl="0" w:tplc="FFA2738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color w:val="0070C0"/>
        <w:sz w:val="28"/>
        <w:szCs w:val="28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A465A2"/>
    <w:multiLevelType w:val="hybridMultilevel"/>
    <w:tmpl w:val="70A6F6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37338"/>
    <w:multiLevelType w:val="hybridMultilevel"/>
    <w:tmpl w:val="FB9675B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814839">
    <w:abstractNumId w:val="7"/>
  </w:num>
  <w:num w:numId="2" w16cid:durableId="1627471354">
    <w:abstractNumId w:val="3"/>
  </w:num>
  <w:num w:numId="3" w16cid:durableId="1901020095">
    <w:abstractNumId w:val="4"/>
  </w:num>
  <w:num w:numId="4" w16cid:durableId="847986281">
    <w:abstractNumId w:val="1"/>
  </w:num>
  <w:num w:numId="5" w16cid:durableId="1407335934">
    <w:abstractNumId w:val="0"/>
  </w:num>
  <w:num w:numId="6" w16cid:durableId="2002926112">
    <w:abstractNumId w:val="2"/>
  </w:num>
  <w:num w:numId="7" w16cid:durableId="2144544108">
    <w:abstractNumId w:val="6"/>
  </w:num>
  <w:num w:numId="8" w16cid:durableId="328216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25"/>
    <w:rsid w:val="00091C9F"/>
    <w:rsid w:val="002D20BC"/>
    <w:rsid w:val="00411066"/>
    <w:rsid w:val="005A308C"/>
    <w:rsid w:val="009D64BD"/>
    <w:rsid w:val="00A06DC6"/>
    <w:rsid w:val="00AA42BB"/>
    <w:rsid w:val="00AF4713"/>
    <w:rsid w:val="00B35069"/>
    <w:rsid w:val="00BA3355"/>
    <w:rsid w:val="00C37887"/>
    <w:rsid w:val="00C41724"/>
    <w:rsid w:val="00C63EAF"/>
    <w:rsid w:val="00CE6674"/>
    <w:rsid w:val="00D923DE"/>
    <w:rsid w:val="00DA5E25"/>
    <w:rsid w:val="00DB4E7F"/>
    <w:rsid w:val="00E71400"/>
    <w:rsid w:val="00E94631"/>
    <w:rsid w:val="00F274F8"/>
    <w:rsid w:val="00F40A46"/>
    <w:rsid w:val="00FB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C762"/>
  <w15:chartTrackingRefBased/>
  <w15:docId w15:val="{A4C34FE9-F6A1-4BC2-B0C4-501BF314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D64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30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A5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DA5E25"/>
  </w:style>
  <w:style w:type="character" w:customStyle="1" w:styleId="eop">
    <w:name w:val="eop"/>
    <w:basedOn w:val="Fuentedeprrafopredeter"/>
    <w:rsid w:val="00DA5E25"/>
  </w:style>
  <w:style w:type="paragraph" w:styleId="Prrafodelista">
    <w:name w:val="List Paragraph"/>
    <w:basedOn w:val="Normal"/>
    <w:uiPriority w:val="34"/>
    <w:qFormat/>
    <w:rsid w:val="00DA5E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37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9D64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A30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FirstParagraph">
    <w:name w:val="First Paragraph"/>
    <w:basedOn w:val="Textoindependiente"/>
    <w:next w:val="Textoindependiente"/>
    <w:qFormat/>
    <w:rsid w:val="00AA42BB"/>
    <w:pPr>
      <w:spacing w:before="180" w:after="180" w:line="240" w:lineRule="auto"/>
    </w:pPr>
    <w:rPr>
      <w:sz w:val="24"/>
      <w:szCs w:val="24"/>
      <w:lang w:val="en-US"/>
    </w:rPr>
  </w:style>
  <w:style w:type="paragraph" w:customStyle="1" w:styleId="Compact">
    <w:name w:val="Compact"/>
    <w:basedOn w:val="Textoindependiente"/>
    <w:qFormat/>
    <w:rsid w:val="00AA42BB"/>
    <w:pPr>
      <w:spacing w:before="36" w:after="36" w:line="240" w:lineRule="auto"/>
    </w:pPr>
    <w:rPr>
      <w:sz w:val="24"/>
      <w:szCs w:val="24"/>
      <w:lang w:val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A42B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A4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7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7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4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0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4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6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6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8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4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4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4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7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5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7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0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9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5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0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0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4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9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0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4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7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53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6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1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4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1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8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1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9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3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1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1250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MROZO</cp:lastModifiedBy>
  <cp:revision>4</cp:revision>
  <dcterms:created xsi:type="dcterms:W3CDTF">2026-07-28T22:32:00Z</dcterms:created>
  <dcterms:modified xsi:type="dcterms:W3CDTF">2026-07-29T00:38:00Z</dcterms:modified>
</cp:coreProperties>
</file>